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Programming 1</w:t>
      </w:r>
    </w:p>
    <w:p>
      <w:pPr>
        <w:spacing w:after="40"/>
      </w:pPr>
      <w:r>
        <w:rPr>
          <w:color w:val="555555"/>
          <w:sz w:val="24"/>
          <w:szCs w:val="24"/>
        </w:rPr>
        <w:t xml:space="preserve">Course Guide &amp; Package Index  ·  start here</w:t>
      </w:r>
    </w:p>
    <w:p>
      <w:pPr>
        <w:spacing w:after="160"/>
      </w:pPr>
      <w:r>
        <w:rPr>
          <w:color w:val="555555"/>
          <w:sz w:val="19"/>
          <w:szCs w:val="19"/>
        </w:rPr>
        <w:t xml:space="preserve">One Day Academy  ·  Dr. Robert Jones</w:t>
      </w:r>
    </w:p>
    <w:p>
      <w:pPr>
        <w:spacing w:after="120" w:line="276"/>
      </w:pPr>
      <w:r>
        <w:t xml:space="preserve">This is a complete, year-long Programming 1 course: building software in the browser, from bits to a working game. It runs 34 once-weekly meetings, late August to mid-May. Students go from HTML and CSS, into JavaScript, and finish by building Battleship. The course follows the CC BY-NC textbook </w:t>
      </w:r>
      <w:r>
        <w:rPr>
          <w:b/>
          <w:bCs/>
        </w:rPr>
        <w:t xml:space="preserve">Foundations for Software Engineering, Book 1</w:t>
      </w:r>
      <w:r>
        <w:t xml:space="preserve"> by Jeremy Kelley, with Git woven throughout.</w:t>
      </w:r>
    </w:p>
    <w:p>
      <w:pPr>
        <w:pStyle w:val="Heading1"/>
      </w:pPr>
      <w:r>
        <w:t xml:space="preserve">What is in this package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50"/>
        <w:gridCol w:w="4050"/>
        <w:gridCol w:w="3460"/>
      </w:tblGrid>
      <w:tr>
        <w:trPr>
          <w:tblHeader/>
        </w:trP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Files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Use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Lecture decks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Programming1_Ch1</w:t>
            </w:r>
            <w:r>
              <w:t xml:space="preserve">..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Ch14_Deck.pptx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one per chapter, 18 to 24 slides, neutral-blue theme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Deck engine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deckbuild.js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template_data.json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*_data.json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DECK_TEMPLATE_INSTRUCTIONS.md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Programming1_Deck_Template.pptx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edit a data file, rebuild a deck in seconds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Planning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Programming1_Syllabus_Pacing.docx</w:t>
            </w:r>
            <w:r>
              <w:t xml:space="preserve">, this guide, the student syllabus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the dated 34-week map and the overviews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Git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Programming1_Git_Supplement.docx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the source-control handout, taught from week 1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Assignment keys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AnswerKeys_Unit1.docx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CodeSolutions_A5_A6.docx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keys and rubrics for all six book assignments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Runnable demos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madlibs_solution.html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notes_app_solution.html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open in a browser to demo in class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Labs &amp; project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Lab_Handouts.docx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Project1_Brief_Rubric.docx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three labs plus the fall project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Assessment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Midterm_Exam</w:t>
            </w:r>
            <w:r>
              <w:t xml:space="preserve">/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_Key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Final_Exam</w:t>
            </w:r>
            <w:r>
              <w:t xml:space="preserve">/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_Key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Quiz_Pack.docx</w:t>
            </w:r>
            <w:r>
              <w:t xml:space="preserve">, </w:t>
            </w:r>
            <w:r>
              <w:rPr>
                <w:rFonts w:ascii="Consolas" w:cs="Consolas" w:eastAsia="Consolas" w:hAnsi="Consolas"/>
                <w:color w:val="B5179E"/>
                <w:sz w:val="20"/>
                <w:szCs w:val="20"/>
              </w:rPr>
              <w:t xml:space="preserve">Capstone_Final_Assessment.docx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exams, a quiz per chapter, and the project rubrics</w:t>
            </w:r>
          </w:p>
        </w:tc>
      </w:tr>
    </w:tbl>
    <w:p>
      <w:pPr>
        <w:pStyle w:val="Heading1"/>
      </w:pPr>
      <w:r>
        <w:t xml:space="preserve">The weekly rhythm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Present</w:t>
      </w:r>
      <w:r>
        <w:t xml:space="preserve"> the chapter deck (one chapter per meeting, mostly).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Practice</w:t>
      </w:r>
      <w:r>
        <w:t xml:space="preserve"> with the matching lab or the deck's Try-It slide.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Assign</w:t>
      </w:r>
      <w:r>
        <w:t xml:space="preserve"> the chapter's work; collect at the next meeting.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Check</w:t>
      </w:r>
      <w:r>
        <w:t xml:space="preserve"> understanding with that chapter's quiz at the end of a unit.</w:t>
      </w:r>
    </w:p>
    <w:p>
      <w:pPr>
        <w:spacing w:after="120" w:line="276"/>
      </w:pPr>
      <w:r>
        <w:t xml:space="preserve">Git is part of every week: students commit their work and push to GitHub. The Git supplement is taught in week 1 and referenced after.</w:t>
      </w:r>
    </w:p>
    <w:p>
      <w:pPr>
        <w:pStyle w:val="Heading1"/>
      </w:pPr>
      <w:r>
        <w:t xml:space="preserve">The year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50"/>
        <w:gridCol w:w="4050"/>
        <w:gridCol w:w="3460"/>
      </w:tblGrid>
      <w:tr>
        <w:trPr>
          <w:tblHeader/>
        </w:trP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Chapters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Milestones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Fall (16 wks)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1-6: foundations, HTML, CSS, layout, forms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Project 1 (Wk 14-15), Midterm (Wk 16)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Spring (18 wks)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7-12: JavaScript through single page apps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A5, A6, the Notes app build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Capstone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13: Battleship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built Wk 30-34, showcase and final in Wk 34</w:t>
            </w:r>
          </w:p>
        </w:tc>
      </w:tr>
      <w:tr>
        <w:tc>
          <w:tcPr>
            <w:tcW w:type="dxa" w:w="18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Enrichment</w:t>
            </w:r>
          </w:p>
        </w:tc>
        <w:tc>
          <w:tcPr>
            <w:tcW w:type="dxa" w:w="405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14: going deeper</w:t>
            </w:r>
          </w:p>
        </w:tc>
        <w:tc>
          <w:tcPr>
            <w:tcW w:type="dxa" w:w="3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optional; only error handling is taught, as a bridge</w:t>
            </w:r>
          </w:p>
        </w:tc>
      </w:tr>
    </w:tbl>
    <w:p>
      <w:pPr>
        <w:pStyle w:val="Heading1"/>
      </w:pPr>
      <w:r>
        <w:t xml:space="preserve">Assignment to chapter, and where the key lives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500"/>
        <w:gridCol w:w="4460"/>
      </w:tblGrid>
      <w:tr>
        <w:trPr>
          <w:tblHeader/>
        </w:trP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Assignment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Chapter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Key / solution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A1 Base Conversion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1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AnswerKeys_Unit1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A2 DNS &amp; IP Worksheet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2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AnswerKeys_Unit1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A3 Structured Web Page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3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AnswerKeys_Unit1 (rubric + reference)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A4 Style a Web Page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4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AnswerKeys_Unit1 (rubric + reference)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Forms Lab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6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Lab_Handouts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A5 Contact List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9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CodeSolutions_A5_A6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A6 Mad Libs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11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CodeSolutions_A5_A6 + madlibs_solution.html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Notes App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12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notes_app_solution.html</w:t>
            </w:r>
          </w:p>
        </w:tc>
      </w:tr>
      <w:tr>
        <w:tc>
          <w:tcPr>
            <w:tcW w:type="dxa" w:w="34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Capstone: Battleship</w:t>
            </w:r>
          </w:p>
        </w:tc>
        <w:tc>
          <w:tcPr>
            <w:tcW w:type="dxa" w:w="1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Ch 13</w:t>
            </w:r>
          </w:p>
        </w:tc>
        <w:tc>
          <w:tcPr>
            <w:tcW w:type="dxa" w:w="44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Capstone_Final_Assessment</w:t>
            </w:r>
          </w:p>
        </w:tc>
      </w:tr>
    </w:tbl>
    <w:p>
      <w:pPr>
        <w:pStyle w:val="Heading1"/>
      </w:pPr>
      <w:r>
        <w:t xml:space="preserve">Grading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560"/>
      </w:tblGrid>
      <w:tr>
        <w:trPr>
          <w:tblHeader/>
        </w:trPr>
        <w:tc>
          <w:tcPr>
            <w:tcW w:type="dxa" w:w="6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Component</w:t>
            </w:r>
          </w:p>
        </w:tc>
        <w:tc>
          <w:tcPr>
            <w:tcW w:type="dxa" w:w="25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Weight</w:t>
            </w:r>
          </w:p>
        </w:tc>
      </w:tr>
      <w:tr>
        <w:tc>
          <w:tcPr>
            <w:tcW w:type="dxa" w:w="6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Weekly assignments and labs</w:t>
            </w:r>
          </w:p>
        </w:tc>
        <w:tc>
          <w:tcPr>
            <w:tcW w:type="dxa" w:w="25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35%</w:t>
            </w:r>
          </w:p>
        </w:tc>
      </w:tr>
      <w:tr>
        <w:tc>
          <w:tcPr>
            <w:tcW w:type="dxa" w:w="6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Midterm exam</w:t>
            </w:r>
          </w:p>
        </w:tc>
        <w:tc>
          <w:tcPr>
            <w:tcW w:type="dxa" w:w="25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10%</w:t>
            </w:r>
          </w:p>
        </w:tc>
      </w:tr>
      <w:tr>
        <w:tc>
          <w:tcPr>
            <w:tcW w:type="dxa" w:w="6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Projects: fall site (15) + capstone (15)</w:t>
            </w:r>
          </w:p>
        </w:tc>
        <w:tc>
          <w:tcPr>
            <w:tcW w:type="dxa" w:w="25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30%</w:t>
            </w:r>
          </w:p>
        </w:tc>
      </w:tr>
      <w:tr>
        <w:tc>
          <w:tcPr>
            <w:tcW w:type="dxa" w:w="6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Quizzes and checkpoints</w:t>
            </w:r>
          </w:p>
        </w:tc>
        <w:tc>
          <w:tcPr>
            <w:tcW w:type="dxa" w:w="25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10%</w:t>
            </w:r>
          </w:p>
        </w:tc>
      </w:tr>
      <w:tr>
        <w:tc>
          <w:tcPr>
            <w:tcW w:type="dxa" w:w="6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Participation and Git hygiene</w:t>
            </w:r>
          </w:p>
        </w:tc>
        <w:tc>
          <w:tcPr>
            <w:tcW w:type="dxa" w:w="25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t xml:space="preserve">15%</w:t>
            </w:r>
          </w:p>
        </w:tc>
      </w:tr>
    </w:tbl>
    <w:p>
      <w:pPr>
        <w:pStyle w:val="Heading1"/>
      </w:pPr>
      <w:r>
        <w:t xml:space="preserve">Editing the slides</w:t>
      </w:r>
    </w:p>
    <w:p>
      <w:pPr>
        <w:spacing w:after="120" w:line="276"/>
      </w:pPr>
      <w:r>
        <w:t xml:space="preserve">Each deck is built from a small JSON data file by </w:t>
      </w:r>
      <w:r>
        <w:rPr>
          <w:rFonts w:ascii="Consolas" w:cs="Consolas" w:eastAsia="Consolas" w:hAnsi="Consolas"/>
          <w:color w:val="B5179E"/>
          <w:sz w:val="20"/>
          <w:szCs w:val="20"/>
        </w:rPr>
        <w:t xml:space="preserve">deckbuild.js</w:t>
      </w:r>
      <w:r>
        <w:t xml:space="preserve">. To change a slide, edit its </w:t>
      </w:r>
      <w:r>
        <w:rPr>
          <w:rFonts w:ascii="Consolas" w:cs="Consolas" w:eastAsia="Consolas" w:hAnsi="Consolas"/>
          <w:color w:val="B5179E"/>
          <w:sz w:val="20"/>
          <w:szCs w:val="20"/>
        </w:rPr>
        <w:t xml:space="preserve">*_data.json</w:t>
      </w:r>
      <w:r>
        <w:t xml:space="preserve"> and run </w:t>
      </w:r>
      <w:r>
        <w:rPr>
          <w:rFonts w:ascii="Consolas" w:cs="Consolas" w:eastAsia="Consolas" w:hAnsi="Consolas"/>
          <w:color w:val="B5179E"/>
          <w:sz w:val="20"/>
          <w:szCs w:val="20"/>
        </w:rPr>
        <w:t xml:space="preserve">node deckbuild.js ch3_data.json My.pptx</w:t>
      </w:r>
      <w:r>
        <w:t xml:space="preserve">. The full layout reference and theme spec are in </w:t>
      </w:r>
      <w:r>
        <w:rPr>
          <w:rFonts w:ascii="Consolas" w:cs="Consolas" w:eastAsia="Consolas" w:hAnsi="Consolas"/>
          <w:color w:val="B5179E"/>
          <w:sz w:val="20"/>
          <w:szCs w:val="20"/>
        </w:rPr>
        <w:t xml:space="preserve">DECK_TEMPLATE_INSTRUCTIONS.md</w:t>
      </w:r>
      <w:r>
        <w:t xml:space="preserve">. To rebrand for another course, change the color constants at the top of the engine once.</w:t>
      </w:r>
    </w:p>
    <w:p>
      <w:pPr>
        <w:pStyle w:val="Heading1"/>
      </w:pPr>
      <w:r>
        <w:t xml:space="preserve">License</w:t>
      </w:r>
    </w:p>
    <w:p>
      <w:pPr>
        <w:spacing w:after="120" w:line="276"/>
      </w:pPr>
      <w:r>
        <w:t xml:space="preserve">These materials are released under </w:t>
      </w:r>
      <w:r>
        <w:rPr>
          <w:b/>
          <w:bCs/>
        </w:rPr>
        <w:t xml:space="preserve">Creative Commons Attribution-NonCommercial 4.0 (CC BY-NC 4.0)</w:t>
      </w:r>
      <w:r>
        <w:t xml:space="preserve">. Attribute to Dr. Robert Jones, One Day Academy. The underlying textbook is by Jeremy Kelley, used under the same license.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5F" w:sz="6" w:space="4"/>
      </w:pBdr>
      <w:jc w:val="center"/>
    </w:pPr>
    <w:r>
      <w:rPr>
        <w:color w:val="555555"/>
        <w:sz w:val="15"/>
        <w:szCs w:val="15"/>
      </w:rPr>
      <w:t xml:space="preserve">Programming 1  ·  Course Guide &amp; Package Index        Page </w:t>
    </w:r>
    <w:r>
      <w:rPr>
        <w:color w:val="555555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Calibri" w:cs="Calibri" w:eastAsia="Calibri" w:hAnsi="Calibri"/>
      <w:b/>
      <w:bCs/>
      <w:color w:val="1F3A5F"/>
      <w:sz w:val="38"/>
      <w:szCs w:val="38"/>
    </w:rPr>
  </w:style>
  <w:style w:type="paragraph" w:styleId="Heading1">
    <w:name w:val="Heading 1"/>
    <w:basedOn w:val="Normal"/>
    <w:next w:val="Normal"/>
    <w:qFormat/>
    <w:pPr>
      <w:pBdr>
        <w:bottom w:val="single" w:color="C9D6C9" w:sz="6" w:space="4"/>
      </w:pBdr>
      <w:spacing w:after="100" w:before="240"/>
      <w:outlineLvl w:val="0"/>
    </w:pPr>
    <w:rPr>
      <w:rFonts w:ascii="Calibri" w:cs="Calibri" w:eastAsia="Calibri" w:hAnsi="Calibri"/>
      <w:b/>
      <w:bCs/>
      <w:color w:val="1F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2026-06-27T14:33:44.263Z</dcterms:created>
  <dcterms:modified xsi:type="dcterms:W3CDTF">2026-06-27T14:33:44.264Z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